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2D2F" w:rsidRDefault="009C2D2F" w:rsidP="009C2D2F">
      <w:pPr>
        <w:tabs>
          <w:tab w:val="left" w:pos="1985"/>
        </w:tabs>
        <w:spacing w:after="0"/>
        <w:ind w:leftChars="100" w:left="484" w:rightChars="100" w:right="200"/>
        <w:rPr>
          <w:rFonts w:ascii="Arial" w:eastAsia="맑은 고딕" w:hAnsi="Arial" w:cs="Arial"/>
          <w:b/>
          <w:bCs/>
          <w:sz w:val="28"/>
          <w:lang w:eastAsia="ko-KR"/>
        </w:rPr>
      </w:pPr>
      <w:r>
        <w:rPr>
          <w:rFonts w:ascii="Arial" w:hAnsi="Arial" w:cs="Arial"/>
          <w:b/>
          <w:bCs/>
          <w:sz w:val="28"/>
        </w:rPr>
        <w:t>3GPP TSG RAN WG1 Meeting #90</w:t>
      </w:r>
      <w:r>
        <w:rPr>
          <w:rFonts w:ascii="Arial" w:hAnsi="Arial" w:cs="Arial"/>
          <w:b/>
          <w:bCs/>
          <w:sz w:val="28"/>
          <w:lang w:eastAsia="ja-JP"/>
        </w:rPr>
        <w:tab/>
        <w:t xml:space="preserve"> </w:t>
      </w:r>
      <w:r>
        <w:rPr>
          <w:rFonts w:ascii="Arial" w:hAnsi="Arial" w:cs="Arial"/>
          <w:b/>
          <w:bCs/>
          <w:sz w:val="28"/>
          <w:lang w:eastAsia="ko-KR"/>
        </w:rPr>
        <w:t xml:space="preserve">     </w:t>
      </w:r>
      <w:r>
        <w:rPr>
          <w:rFonts w:ascii="Arial" w:hAnsi="Arial" w:cs="Arial"/>
          <w:b/>
          <w:bCs/>
          <w:sz w:val="28"/>
          <w:lang w:eastAsia="ko-KR"/>
        </w:rPr>
        <w:tab/>
      </w:r>
      <w:bookmarkStart w:id="0" w:name="_GoBack"/>
      <w:bookmarkEnd w:id="0"/>
      <w:r>
        <w:rPr>
          <w:rFonts w:ascii="Arial" w:hAnsi="Arial" w:cs="Arial"/>
          <w:b/>
          <w:bCs/>
          <w:sz w:val="28"/>
          <w:lang w:eastAsia="ko-KR"/>
        </w:rPr>
        <w:tab/>
      </w:r>
      <w:r w:rsidR="004D5C93" w:rsidRPr="004D5C93">
        <w:rPr>
          <w:rFonts w:ascii="Arial" w:hAnsi="Arial" w:cs="Arial"/>
          <w:b/>
          <w:bCs/>
          <w:sz w:val="28"/>
        </w:rPr>
        <w:t>R1-1713197</w:t>
      </w:r>
    </w:p>
    <w:p w:rsidR="009C2D2F" w:rsidRDefault="009C2D2F" w:rsidP="009C2D2F">
      <w:pPr>
        <w:tabs>
          <w:tab w:val="left" w:pos="1985"/>
        </w:tabs>
        <w:spacing w:after="0"/>
        <w:ind w:leftChars="100" w:left="484" w:rightChars="100" w:right="200"/>
        <w:rPr>
          <w:rFonts w:ascii="Arial" w:hAnsi="Arial" w:cs="Arial"/>
          <w:b/>
          <w:bCs/>
          <w:sz w:val="28"/>
          <w:lang w:eastAsia="ko-KR"/>
        </w:rPr>
      </w:pPr>
      <w:r>
        <w:rPr>
          <w:rFonts w:ascii="Arial" w:hAnsi="Arial" w:cs="Arial"/>
          <w:b/>
          <w:bCs/>
          <w:sz w:val="28"/>
          <w:lang w:val="en-US" w:eastAsia="ja-JP"/>
        </w:rPr>
        <w:t>Prague</w:t>
      </w:r>
      <w:r>
        <w:rPr>
          <w:rFonts w:ascii="Arial" w:hAnsi="Arial" w:cs="Arial"/>
          <w:b/>
          <w:bCs/>
          <w:sz w:val="28"/>
          <w:lang w:val="en-US"/>
        </w:rPr>
        <w:t xml:space="preserve">, </w:t>
      </w:r>
      <w:r>
        <w:rPr>
          <w:rFonts w:ascii="Arial" w:hAnsi="Arial" w:cs="Arial"/>
          <w:b/>
          <w:bCs/>
          <w:sz w:val="28"/>
          <w:lang w:val="en-US" w:eastAsia="ja-JP"/>
        </w:rPr>
        <w:t>Czech Republic</w:t>
      </w:r>
      <w:r>
        <w:rPr>
          <w:rFonts w:ascii="Arial" w:hAnsi="Arial" w:cs="Arial"/>
          <w:b/>
          <w:bCs/>
          <w:sz w:val="28"/>
          <w:lang w:val="en-US"/>
        </w:rPr>
        <w:t xml:space="preserve"> </w:t>
      </w:r>
      <w:r>
        <w:rPr>
          <w:rFonts w:ascii="Arial" w:hAnsi="Arial" w:cs="Arial"/>
          <w:b/>
          <w:bCs/>
          <w:sz w:val="28"/>
          <w:lang w:val="en-US" w:eastAsia="ja-JP"/>
        </w:rPr>
        <w:t>21</w:t>
      </w:r>
      <w:r>
        <w:rPr>
          <w:rFonts w:ascii="Arial" w:hAnsi="Arial" w:cs="Arial"/>
          <w:b/>
          <w:bCs/>
          <w:sz w:val="28"/>
          <w:vertAlign w:val="superscript"/>
          <w:lang w:val="en-US" w:eastAsia="ja-JP"/>
        </w:rPr>
        <w:t>st</w:t>
      </w:r>
      <w:r>
        <w:rPr>
          <w:rFonts w:ascii="Arial" w:hAnsi="Arial" w:cs="Arial"/>
          <w:b/>
          <w:bCs/>
          <w:sz w:val="28"/>
          <w:lang w:val="en-US" w:eastAsia="ja-JP"/>
        </w:rPr>
        <w:t xml:space="preserve"> </w:t>
      </w:r>
      <w:r>
        <w:rPr>
          <w:rFonts w:ascii="Arial" w:hAnsi="Arial" w:cs="Arial"/>
          <w:b/>
          <w:bCs/>
          <w:sz w:val="28"/>
          <w:lang w:val="en-US"/>
        </w:rPr>
        <w:t xml:space="preserve">- </w:t>
      </w:r>
      <w:r>
        <w:rPr>
          <w:rFonts w:ascii="Arial" w:hAnsi="Arial" w:cs="Arial"/>
          <w:b/>
          <w:bCs/>
          <w:sz w:val="28"/>
          <w:lang w:val="en-US" w:eastAsia="ja-JP"/>
        </w:rPr>
        <w:t>25</w:t>
      </w:r>
      <w:r>
        <w:rPr>
          <w:rFonts w:ascii="Arial" w:hAnsi="Arial" w:cs="Arial"/>
          <w:b/>
          <w:bCs/>
          <w:sz w:val="28"/>
          <w:vertAlign w:val="superscript"/>
          <w:lang w:val="en-US"/>
        </w:rPr>
        <w:t>th</w:t>
      </w:r>
      <w:r>
        <w:rPr>
          <w:rFonts w:ascii="Arial" w:hAnsi="Arial" w:cs="Arial"/>
          <w:b/>
          <w:bCs/>
          <w:sz w:val="28"/>
          <w:lang w:val="en-US"/>
        </w:rPr>
        <w:t xml:space="preserve"> </w:t>
      </w:r>
      <w:r>
        <w:rPr>
          <w:rFonts w:ascii="Arial" w:hAnsi="Arial" w:cs="Arial"/>
          <w:b/>
          <w:bCs/>
          <w:sz w:val="28"/>
          <w:lang w:val="en-US" w:eastAsia="ja-JP"/>
        </w:rPr>
        <w:t>August</w:t>
      </w:r>
      <w:r>
        <w:rPr>
          <w:rFonts w:ascii="Arial" w:hAnsi="Arial" w:cs="Arial"/>
          <w:b/>
          <w:bCs/>
          <w:sz w:val="28"/>
          <w:lang w:val="en-US"/>
        </w:rPr>
        <w:t xml:space="preserve"> 201</w:t>
      </w:r>
      <w:r>
        <w:rPr>
          <w:rFonts w:ascii="Arial" w:hAnsi="Arial" w:cs="Arial"/>
          <w:b/>
          <w:bCs/>
          <w:sz w:val="28"/>
          <w:lang w:val="en-US" w:eastAsia="ja-JP"/>
        </w:rPr>
        <w:t>7</w:t>
      </w:r>
    </w:p>
    <w:p w:rsidR="00F33496" w:rsidRPr="009C2D2F" w:rsidRDefault="00F33496" w:rsidP="00F33496">
      <w:pPr>
        <w:tabs>
          <w:tab w:val="left" w:pos="1985"/>
        </w:tabs>
        <w:spacing w:after="0"/>
        <w:ind w:left="0" w:firstLine="0"/>
        <w:rPr>
          <w:rFonts w:ascii="Arial" w:eastAsia="맑은 고딕" w:hAnsi="Arial" w:cs="Arial"/>
          <w:b/>
          <w:bCs/>
          <w:sz w:val="28"/>
          <w:lang w:eastAsia="ko-KR"/>
        </w:rPr>
      </w:pPr>
    </w:p>
    <w:p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731E8F">
        <w:rPr>
          <w:rFonts w:ascii="Arial" w:eastAsia="맑은 고딕" w:hAnsi="Arial"/>
          <w:sz w:val="24"/>
          <w:lang w:val="en-US" w:eastAsia="ko-KR"/>
        </w:rPr>
        <w:t>6.1.3.3.6.3</w:t>
      </w:r>
    </w:p>
    <w:p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B20D93"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731E8F" w:rsidRPr="00731E8F">
        <w:rPr>
          <w:rFonts w:ascii="Arial" w:eastAsia="바탕" w:hAnsi="Arial" w:hint="eastAsia"/>
          <w:sz w:val="24"/>
          <w:lang w:eastAsia="ko-KR"/>
        </w:rPr>
        <w:t>Discussion on soft buffer handling for LTE-NR DC</w:t>
      </w:r>
    </w:p>
    <w:p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rsidR="00095BF5" w:rsidRPr="00B20D93" w:rsidRDefault="00095BF5" w:rsidP="003A5BEE">
      <w:pPr>
        <w:pStyle w:val="1"/>
        <w:numPr>
          <w:ilvl w:val="0"/>
          <w:numId w:val="2"/>
        </w:numPr>
        <w:rPr>
          <w:rFonts w:eastAsia="바탕" w:cs="Arial"/>
          <w:b/>
          <w:lang w:eastAsia="ko-KR"/>
        </w:rPr>
      </w:pPr>
      <w:r w:rsidRPr="00B20D93">
        <w:rPr>
          <w:rFonts w:eastAsia="바탕" w:cs="Arial"/>
          <w:b/>
          <w:lang w:eastAsia="ko-KR"/>
        </w:rPr>
        <w:t>Introduction</w:t>
      </w:r>
    </w:p>
    <w:p w:rsidR="008F0625" w:rsidRPr="00560857" w:rsidRDefault="00FF3FE7" w:rsidP="00560857">
      <w:pPr>
        <w:ind w:left="0" w:firstLine="0"/>
        <w:rPr>
          <w:rFonts w:eastAsiaTheme="minorEastAsia"/>
          <w:sz w:val="22"/>
          <w:szCs w:val="22"/>
          <w:lang w:eastAsia="ko-KR"/>
        </w:rPr>
      </w:pPr>
      <w:r>
        <w:rPr>
          <w:rFonts w:eastAsiaTheme="minorEastAsia" w:hint="eastAsia"/>
          <w:sz w:val="22"/>
          <w:szCs w:val="22"/>
          <w:lang w:eastAsia="ko-KR"/>
        </w:rPr>
        <w:t xml:space="preserve">This contribution </w:t>
      </w:r>
      <w:r>
        <w:rPr>
          <w:rFonts w:eastAsiaTheme="minorEastAsia"/>
          <w:sz w:val="22"/>
          <w:szCs w:val="22"/>
          <w:lang w:eastAsia="ko-KR"/>
        </w:rPr>
        <w:t xml:space="preserve">discusses soft buffer sharing between LTE and NR when a UE is configured with dual connectivity. </w:t>
      </w:r>
    </w:p>
    <w:p w:rsidR="008009BD" w:rsidRDefault="00FF3FE7" w:rsidP="00560857">
      <w:pPr>
        <w:pStyle w:val="1"/>
        <w:numPr>
          <w:ilvl w:val="0"/>
          <w:numId w:val="2"/>
        </w:numPr>
        <w:spacing w:after="0"/>
        <w:rPr>
          <w:rFonts w:eastAsia="바탕" w:cs="Arial"/>
          <w:b/>
          <w:szCs w:val="32"/>
          <w:lang w:eastAsia="ko-KR"/>
        </w:rPr>
      </w:pPr>
      <w:r>
        <w:rPr>
          <w:rFonts w:eastAsia="바탕" w:cs="Arial"/>
          <w:b/>
          <w:szCs w:val="32"/>
          <w:lang w:eastAsia="ko-KR"/>
        </w:rPr>
        <w:t>Discussion</w:t>
      </w:r>
    </w:p>
    <w:p w:rsidR="006C3E3C" w:rsidRDefault="000D12C6" w:rsidP="000D12C6">
      <w:pPr>
        <w:tabs>
          <w:tab w:val="left" w:pos="2500"/>
        </w:tabs>
        <w:ind w:left="0" w:firstLine="0"/>
        <w:rPr>
          <w:rFonts w:eastAsiaTheme="minorEastAsia"/>
          <w:lang w:eastAsia="ko-KR"/>
        </w:rPr>
      </w:pPr>
      <w:r>
        <w:rPr>
          <w:rFonts w:eastAsiaTheme="minorEastAsia" w:hint="eastAsia"/>
          <w:lang w:eastAsia="ko-KR"/>
        </w:rPr>
        <w:t>I</w:t>
      </w:r>
      <w:r>
        <w:rPr>
          <w:rFonts w:eastAsiaTheme="minorEastAsia"/>
          <w:lang w:eastAsia="ko-KR"/>
        </w:rPr>
        <w:t xml:space="preserve">n LTE, soft buffer between two carrier groups are shared based on the number of carriers configured to the UE. In NR-LTE dual connectivity, due to several aspects, some further considerations on soft buffer management seem necessary. Firstly, NR-LTE dual connectivity, a UE supports two different RATs, and depending on UE implementation/capabilities, it may be easily possible to share soft buffer or may not be easily possible to share soft buffer dynamically. Secondly, between eNB and gNB, each network may not know the number of carriers/bandwidths configured to each UE in different CG. Thirdly, the required optimal soft buffer size can be different in NR compared to LTE as the bandwidths and numerologies supported by NR are more flexible than LTE. Also, with bandwidth adaptation feature in NR, the required soft buffer size can be varying in NR. </w:t>
      </w:r>
    </w:p>
    <w:p w:rsidR="000D12C6" w:rsidRPr="000D12C6" w:rsidRDefault="000D12C6" w:rsidP="000D12C6">
      <w:pPr>
        <w:tabs>
          <w:tab w:val="left" w:pos="2500"/>
        </w:tabs>
        <w:ind w:left="0" w:firstLine="0"/>
        <w:rPr>
          <w:rFonts w:eastAsiaTheme="minorEastAsia"/>
          <w:lang w:eastAsia="ko-KR"/>
        </w:rPr>
      </w:pPr>
      <w:r w:rsidRPr="000D12C6">
        <w:rPr>
          <w:rFonts w:eastAsiaTheme="minorEastAsia"/>
          <w:lang w:eastAsia="ko-KR"/>
        </w:rPr>
        <w:t xml:space="preserve">In terms of soft buffer management between LTE and NR dual connectivity, we can consider the following approaches. </w:t>
      </w:r>
    </w:p>
    <w:p w:rsidR="000D12C6" w:rsidRDefault="000D12C6" w:rsidP="00243422">
      <w:pPr>
        <w:pStyle w:val="ad"/>
        <w:numPr>
          <w:ilvl w:val="0"/>
          <w:numId w:val="49"/>
        </w:numPr>
        <w:tabs>
          <w:tab w:val="left" w:pos="2500"/>
        </w:tabs>
        <w:ind w:leftChars="0"/>
        <w:rPr>
          <w:rFonts w:ascii="Times New Roman" w:eastAsiaTheme="minorEastAsia" w:hAnsi="Times New Roman" w:cs="Times New Roman"/>
        </w:rPr>
      </w:pPr>
      <w:r w:rsidRPr="00A92CAA">
        <w:rPr>
          <w:rFonts w:ascii="Times New Roman" w:eastAsiaTheme="minorEastAsia" w:hAnsi="Times New Roman" w:cs="Times New Roman"/>
        </w:rPr>
        <w:t>Hard-split</w:t>
      </w:r>
      <w:r w:rsidR="00A92CAA" w:rsidRPr="00A92CAA">
        <w:rPr>
          <w:rFonts w:ascii="Times New Roman" w:eastAsiaTheme="minorEastAsia" w:hAnsi="Times New Roman" w:cs="Times New Roman"/>
        </w:rPr>
        <w:t>: first approach is that a UE can define soft buffer size per RAT respectively. This approach would not allow to share the soft buffer between two RATs. When a UE reports its category, it can report soft buffer size for each RAT. As LTE and NR use different coding for data, it is likely that the UE reports maximum supported TBS per each RAT. When it reports the maximum TBS separately, soft buffer size necessary for each TBS can be also independently dimensioned. This approach would allow independent RAT implementation at UE side, however, can be very inefficient when the network wants to flexibly configure carriers with different RATs.</w:t>
      </w:r>
      <w:r w:rsidR="00A92CAA">
        <w:rPr>
          <w:rFonts w:ascii="Times New Roman" w:eastAsiaTheme="minorEastAsia" w:hAnsi="Times New Roman" w:cs="Times New Roman"/>
        </w:rPr>
        <w:t xml:space="preserve"> Particularly, if soft buffer is smaller than three times of maximum supported TBS in each RAT, depending on the number of configured carriers, it would be more desirable to allow soft buffer sharing between two RATs. </w:t>
      </w:r>
    </w:p>
    <w:p w:rsidR="00A92CAA" w:rsidRDefault="00A92CAA" w:rsidP="00243422">
      <w:pPr>
        <w:pStyle w:val="ad"/>
        <w:numPr>
          <w:ilvl w:val="0"/>
          <w:numId w:val="49"/>
        </w:numPr>
        <w:tabs>
          <w:tab w:val="left" w:pos="2500"/>
        </w:tabs>
        <w:ind w:leftChars="0"/>
        <w:rPr>
          <w:rFonts w:ascii="Times New Roman" w:eastAsiaTheme="minorEastAsia" w:hAnsi="Times New Roman" w:cs="Times New Roman"/>
        </w:rPr>
      </w:pPr>
      <w:r>
        <w:rPr>
          <w:rFonts w:ascii="Times New Roman" w:eastAsiaTheme="minorEastAsia" w:hAnsi="Times New Roman" w:cs="Times New Roman"/>
        </w:rPr>
        <w:t xml:space="preserve">Semi-static split: another approach is to semi-statically partition soft buffer size to LTE and NR carrier groups. This can be done when secondary CG is configured. With semi-statically configured soft buffer in each RAT, soft buffer partition across the number of configured/activated carriers can be done in each RAT respectively. This approach is beneficial when each NB may not know the number of configured carriers in the other CG, or NR changes numerology, bandwidth, TTI lengths dynamically such that soft buffer handling in NR can be dynamically changed. </w:t>
      </w:r>
      <w:r w:rsidR="001D100E">
        <w:rPr>
          <w:rFonts w:ascii="Times New Roman" w:eastAsiaTheme="minorEastAsia" w:hAnsi="Times New Roman" w:cs="Times New Roman"/>
        </w:rPr>
        <w:t xml:space="preserve">Particularly, if LTE eNB does not know the number of carriers activated in NR or the </w:t>
      </w:r>
      <w:r w:rsidR="001D100E">
        <w:rPr>
          <w:rFonts w:ascii="Times New Roman" w:eastAsiaTheme="minorEastAsia" w:hAnsi="Times New Roman" w:cs="Times New Roman"/>
        </w:rPr>
        <w:lastRenderedPageBreak/>
        <w:t xml:space="preserve">total bandwidth allocated in NR, it becomes hard to share soft buffer dynamically between two CGs. In such cases, it is more desirable to allow semi-static partitioning at SCG configuration (which can be reconfigured if necessary). </w:t>
      </w:r>
      <w:r w:rsidR="00F16302">
        <w:rPr>
          <w:rFonts w:ascii="Times New Roman" w:eastAsiaTheme="minorEastAsia" w:hAnsi="Times New Roman" w:cs="Times New Roman"/>
        </w:rPr>
        <w:t xml:space="preserve">When it is semi-statically partitioned, to avoid any changes in LTE side, it can be considered that soft buffer size for LTE is one of the values from existing LTE UE category’s soft buffer size. When ratio is used to partition soft buffer between two RATs, the closest soft buffer size to one of LTE UE category’s soft buffer size can be assumed for LTE side. The remaining soft buffer size can be used for NR side. </w:t>
      </w:r>
    </w:p>
    <w:p w:rsidR="00BB7366" w:rsidRPr="00A92CAA" w:rsidRDefault="00BB7366" w:rsidP="00243422">
      <w:pPr>
        <w:pStyle w:val="ad"/>
        <w:numPr>
          <w:ilvl w:val="0"/>
          <w:numId w:val="49"/>
        </w:numPr>
        <w:tabs>
          <w:tab w:val="left" w:pos="2500"/>
        </w:tabs>
        <w:ind w:leftChars="0"/>
        <w:rPr>
          <w:rFonts w:ascii="Times New Roman" w:eastAsiaTheme="minorEastAsia" w:hAnsi="Times New Roman" w:cs="Times New Roman"/>
        </w:rPr>
      </w:pPr>
      <w:r>
        <w:rPr>
          <w:rFonts w:ascii="Times New Roman" w:eastAsiaTheme="minorEastAsia" w:hAnsi="Times New Roman" w:cs="Times New Roman"/>
        </w:rPr>
        <w:t xml:space="preserve">Dynamic sharing: </w:t>
      </w:r>
      <w:r w:rsidR="00F16302">
        <w:rPr>
          <w:rFonts w:ascii="Times New Roman" w:eastAsiaTheme="minorEastAsia" w:hAnsi="Times New Roman" w:cs="Times New Roman"/>
        </w:rPr>
        <w:t xml:space="preserve">Semi-static partitioning may not be so efficient when the number of configured carriers in two RATs are somewhat dynamically changing or situation may be changed. Particularly, when eNB and gNB are collocated, it is considerable to allow dynamic sharing between two RATs. In this case, however, some soft buffer dimensioning in NR side needs to be taken in to account for soft buffer size determination for each carrier. Considering potentially different soft buffer handling in NR compared to LTE, it is still desirable to partition soft buffer between two CGs, and then divide the allocated soft buffer to each carrier per RAT. In this sense, when dynamic sharing is used, this could mean that soft buffer size for LTE can be changed whenever LTE carrier is configured/activated, and the remaining soft buffer can be allocated to NR. Alternatively, each carrier in NR may have different weight than 1 and the weight for LTE is 1, and then total soft buffer can be divided by total weight. For example, if NR carrier uses 15 kHz with 2msec HARQ RTT for 80 MHz, the weight can be 1, and NR carrier uses 15 kHz with 2msec HARQ RTT for 20 MHz, the weight can be 0.25. Whenever a UE is activated/configured with a carrier, depending on the weight, the soft buffer per each carrier can be defined. Another approach is to assume ‘fixed’ soft buffer size per each LTE carrier which can be higher layer configured, and multiple of the configured number of LTE carriers and fixed soft buffer size per each LTE carrier can be allocated to LTE depending on the number of configured LTE carriers where the remaining can be used for NR. When this approach is used, the total soft buffer size would be one of the supported soft buffer size in LTE to minimize specification changes in LTE side. </w:t>
      </w:r>
      <w:r w:rsidR="00C235E0">
        <w:rPr>
          <w:rFonts w:ascii="Times New Roman" w:eastAsiaTheme="minorEastAsia" w:hAnsi="Times New Roman" w:cs="Times New Roman"/>
        </w:rPr>
        <w:t xml:space="preserve">Thus, the value assigned to each carrier or the total value should be consistent with LTE UE category soft buffer sizes. </w:t>
      </w:r>
    </w:p>
    <w:p w:rsidR="00ED1F6F" w:rsidRDefault="00ED1F6F" w:rsidP="003A5BEE">
      <w:pPr>
        <w:pStyle w:val="1"/>
        <w:numPr>
          <w:ilvl w:val="0"/>
          <w:numId w:val="2"/>
        </w:numPr>
        <w:rPr>
          <w:rFonts w:eastAsia="바탕"/>
          <w:b/>
          <w:lang w:eastAsia="ko-KR"/>
        </w:rPr>
      </w:pPr>
      <w:r>
        <w:rPr>
          <w:rFonts w:eastAsia="바탕"/>
          <w:b/>
          <w:lang w:eastAsia="ko-KR"/>
        </w:rPr>
        <w:t>Conclusion</w:t>
      </w:r>
    </w:p>
    <w:p w:rsidR="00C235E0" w:rsidRPr="00F16302" w:rsidRDefault="00F16302" w:rsidP="00F16302">
      <w:pPr>
        <w:ind w:left="0" w:firstLine="0"/>
        <w:rPr>
          <w:rFonts w:eastAsiaTheme="minorEastAsia"/>
          <w:lang w:eastAsia="ko-KR"/>
        </w:rPr>
      </w:pPr>
      <w:r>
        <w:rPr>
          <w:rFonts w:eastAsiaTheme="minorEastAsia"/>
          <w:lang w:eastAsia="ko-KR"/>
        </w:rPr>
        <w:t xml:space="preserve">This contribution discusses </w:t>
      </w:r>
      <w:r w:rsidR="00C235E0">
        <w:rPr>
          <w:rFonts w:eastAsiaTheme="minorEastAsia"/>
          <w:lang w:eastAsia="ko-KR"/>
        </w:rPr>
        <w:t xml:space="preserve">soft buffer handling for LTE-NR dual connectivity. Considering the efficiency and simplicity, we consider that semi-static partitioning between LTE and NR CG can be considered where reconfiguration may occur whenever additional carrier is configured/activated. </w:t>
      </w:r>
    </w:p>
    <w:p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rsidR="00380F89" w:rsidRPr="00432E3F" w:rsidRDefault="00380F89" w:rsidP="00B057D6">
      <w:pPr>
        <w:pStyle w:val="References"/>
        <w:numPr>
          <w:ilvl w:val="0"/>
          <w:numId w:val="0"/>
        </w:numPr>
        <w:rPr>
          <w:rFonts w:eastAsia="맑은 고딕"/>
          <w:szCs w:val="22"/>
          <w:lang w:val="en-GB" w:eastAsia="ko-KR"/>
        </w:rPr>
      </w:pPr>
    </w:p>
    <w:sectPr w:rsidR="00380F89" w:rsidRPr="00432E3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5F1A" w:rsidRDefault="00585F1A" w:rsidP="00CB15B0">
      <w:pPr>
        <w:spacing w:before="0" w:after="0" w:line="240" w:lineRule="auto"/>
      </w:pPr>
      <w:r>
        <w:separator/>
      </w:r>
    </w:p>
  </w:endnote>
  <w:endnote w:type="continuationSeparator" w:id="0">
    <w:p w:rsidR="00585F1A" w:rsidRDefault="00585F1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5F1A" w:rsidRDefault="00585F1A" w:rsidP="00CB15B0">
      <w:pPr>
        <w:spacing w:before="0" w:after="0" w:line="240" w:lineRule="auto"/>
      </w:pPr>
      <w:r>
        <w:separator/>
      </w:r>
    </w:p>
  </w:footnote>
  <w:footnote w:type="continuationSeparator" w:id="0">
    <w:p w:rsidR="00585F1A" w:rsidRDefault="00585F1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8.7pt;height:8.7pt" o:bullet="t">
        <v:imagedata r:id="rId1" o:title="art1E0A"/>
      </v:shape>
    </w:pict>
  </w:numPicBullet>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9082E5F"/>
    <w:multiLevelType w:val="hybridMultilevel"/>
    <w:tmpl w:val="4A7268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9302351"/>
    <w:multiLevelType w:val="hybridMultilevel"/>
    <w:tmpl w:val="386AC15C"/>
    <w:lvl w:ilvl="0" w:tplc="AAB69B5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6">
    <w:nsid w:val="10792628"/>
    <w:multiLevelType w:val="hybridMultilevel"/>
    <w:tmpl w:val="FB7A0644"/>
    <w:lvl w:ilvl="0" w:tplc="D95E8522">
      <w:start w:val="1"/>
      <w:numFmt w:val="bullet"/>
      <w:lvlText w:val="•"/>
      <w:lvlJc w:val="left"/>
      <w:pPr>
        <w:tabs>
          <w:tab w:val="num" w:pos="720"/>
        </w:tabs>
        <w:ind w:left="720" w:hanging="360"/>
      </w:pPr>
      <w:rPr>
        <w:rFonts w:ascii="Arial" w:hAnsi="Arial" w:cs="Times New Roman" w:hint="default"/>
      </w:rPr>
    </w:lvl>
    <w:lvl w:ilvl="1" w:tplc="DB5E1EB8">
      <w:start w:val="824"/>
      <w:numFmt w:val="bullet"/>
      <w:lvlText w:val="–"/>
      <w:lvlJc w:val="left"/>
      <w:pPr>
        <w:tabs>
          <w:tab w:val="num" w:pos="1440"/>
        </w:tabs>
        <w:ind w:left="1440" w:hanging="360"/>
      </w:pPr>
      <w:rPr>
        <w:rFonts w:ascii="Arial" w:hAnsi="Arial" w:cs="Times New Roman" w:hint="default"/>
      </w:rPr>
    </w:lvl>
    <w:lvl w:ilvl="2" w:tplc="E3A4BBF2">
      <w:start w:val="1"/>
      <w:numFmt w:val="bullet"/>
      <w:lvlText w:val="•"/>
      <w:lvlJc w:val="left"/>
      <w:pPr>
        <w:tabs>
          <w:tab w:val="num" w:pos="2160"/>
        </w:tabs>
        <w:ind w:left="2160" w:hanging="360"/>
      </w:pPr>
      <w:rPr>
        <w:rFonts w:ascii="Arial" w:hAnsi="Arial" w:cs="Times New Roman" w:hint="default"/>
      </w:rPr>
    </w:lvl>
    <w:lvl w:ilvl="3" w:tplc="B5D88F86">
      <w:start w:val="1"/>
      <w:numFmt w:val="bullet"/>
      <w:lvlText w:val="•"/>
      <w:lvlJc w:val="left"/>
      <w:pPr>
        <w:tabs>
          <w:tab w:val="num" w:pos="2880"/>
        </w:tabs>
        <w:ind w:left="2880" w:hanging="360"/>
      </w:pPr>
      <w:rPr>
        <w:rFonts w:ascii="Arial" w:hAnsi="Arial" w:cs="Times New Roman" w:hint="default"/>
      </w:rPr>
    </w:lvl>
    <w:lvl w:ilvl="4" w:tplc="6D70BCCC">
      <w:start w:val="1"/>
      <w:numFmt w:val="bullet"/>
      <w:lvlText w:val="•"/>
      <w:lvlJc w:val="left"/>
      <w:pPr>
        <w:tabs>
          <w:tab w:val="num" w:pos="3600"/>
        </w:tabs>
        <w:ind w:left="3600" w:hanging="360"/>
      </w:pPr>
      <w:rPr>
        <w:rFonts w:ascii="Arial" w:hAnsi="Arial" w:cs="Times New Roman" w:hint="default"/>
      </w:rPr>
    </w:lvl>
    <w:lvl w:ilvl="5" w:tplc="974EFAE4">
      <w:start w:val="1"/>
      <w:numFmt w:val="bullet"/>
      <w:lvlText w:val="•"/>
      <w:lvlJc w:val="left"/>
      <w:pPr>
        <w:tabs>
          <w:tab w:val="num" w:pos="4320"/>
        </w:tabs>
        <w:ind w:left="4320" w:hanging="360"/>
      </w:pPr>
      <w:rPr>
        <w:rFonts w:ascii="Arial" w:hAnsi="Arial" w:cs="Times New Roman" w:hint="default"/>
      </w:rPr>
    </w:lvl>
    <w:lvl w:ilvl="6" w:tplc="9BF221B0">
      <w:start w:val="1"/>
      <w:numFmt w:val="bullet"/>
      <w:lvlText w:val="•"/>
      <w:lvlJc w:val="left"/>
      <w:pPr>
        <w:tabs>
          <w:tab w:val="num" w:pos="5040"/>
        </w:tabs>
        <w:ind w:left="5040" w:hanging="360"/>
      </w:pPr>
      <w:rPr>
        <w:rFonts w:ascii="Arial" w:hAnsi="Arial" w:cs="Times New Roman" w:hint="default"/>
      </w:rPr>
    </w:lvl>
    <w:lvl w:ilvl="7" w:tplc="CF96664E">
      <w:start w:val="1"/>
      <w:numFmt w:val="bullet"/>
      <w:lvlText w:val="•"/>
      <w:lvlJc w:val="left"/>
      <w:pPr>
        <w:tabs>
          <w:tab w:val="num" w:pos="5760"/>
        </w:tabs>
        <w:ind w:left="5760" w:hanging="360"/>
      </w:pPr>
      <w:rPr>
        <w:rFonts w:ascii="Arial" w:hAnsi="Arial" w:cs="Times New Roman" w:hint="default"/>
      </w:rPr>
    </w:lvl>
    <w:lvl w:ilvl="8" w:tplc="5AC0F578">
      <w:start w:val="1"/>
      <w:numFmt w:val="bullet"/>
      <w:lvlText w:val="•"/>
      <w:lvlJc w:val="left"/>
      <w:pPr>
        <w:tabs>
          <w:tab w:val="num" w:pos="6480"/>
        </w:tabs>
        <w:ind w:left="6480" w:hanging="360"/>
      </w:pPr>
      <w:rPr>
        <w:rFonts w:ascii="Arial" w:hAnsi="Arial" w:cs="Times New Roman" w:hint="default"/>
      </w:rPr>
    </w:lvl>
  </w:abstractNum>
  <w:abstractNum w:abstractNumId="7">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8">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205100C4"/>
    <w:multiLevelType w:val="hybridMultilevel"/>
    <w:tmpl w:val="1242B01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0B030EB"/>
    <w:multiLevelType w:val="hybridMultilevel"/>
    <w:tmpl w:val="17743892"/>
    <w:lvl w:ilvl="0" w:tplc="5C60310C">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nsid w:val="29A96346"/>
    <w:multiLevelType w:val="hybridMultilevel"/>
    <w:tmpl w:val="1DCEB8D2"/>
    <w:lvl w:ilvl="0" w:tplc="3CC47AD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C950E8C"/>
    <w:multiLevelType w:val="hybridMultilevel"/>
    <w:tmpl w:val="52C0F028"/>
    <w:lvl w:ilvl="0" w:tplc="A6D827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8">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9">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0">
    <w:nsid w:val="36B87560"/>
    <w:multiLevelType w:val="hybridMultilevel"/>
    <w:tmpl w:val="BDF885BE"/>
    <w:lvl w:ilvl="0" w:tplc="0E32DE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4">
    <w:nsid w:val="3A0F0974"/>
    <w:multiLevelType w:val="hybridMultilevel"/>
    <w:tmpl w:val="92B8432E"/>
    <w:lvl w:ilvl="0" w:tplc="6B029D58">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3A877D64"/>
    <w:multiLevelType w:val="singleLevel"/>
    <w:tmpl w:val="5DA6FC16"/>
    <w:lvl w:ilvl="0">
      <w:start w:val="1"/>
      <w:numFmt w:val="decimal"/>
      <w:pStyle w:val="References"/>
      <w:lvlText w:val="[%1]"/>
      <w:lvlJc w:val="left"/>
      <w:pPr>
        <w:tabs>
          <w:tab w:val="num" w:pos="3762"/>
        </w:tabs>
        <w:ind w:left="3762" w:hanging="360"/>
      </w:pPr>
    </w:lvl>
  </w:abstractNum>
  <w:abstractNum w:abstractNumId="26">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nsid w:val="3DBA3620"/>
    <w:multiLevelType w:val="hybridMultilevel"/>
    <w:tmpl w:val="3228997C"/>
    <w:lvl w:ilvl="0" w:tplc="F7503D4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31">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3">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4">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36">
    <w:nsid w:val="5B3253E3"/>
    <w:multiLevelType w:val="hybridMultilevel"/>
    <w:tmpl w:val="CF160B58"/>
    <w:lvl w:ilvl="0" w:tplc="6F36DBE4">
      <w:start w:val="1"/>
      <w:numFmt w:val="bullet"/>
      <w:lvlText w:val="•"/>
      <w:lvlJc w:val="left"/>
      <w:pPr>
        <w:tabs>
          <w:tab w:val="num" w:pos="720"/>
        </w:tabs>
        <w:ind w:left="720" w:hanging="360"/>
      </w:pPr>
      <w:rPr>
        <w:rFonts w:ascii="Arial" w:hAnsi="Arial" w:hint="default"/>
      </w:rPr>
    </w:lvl>
    <w:lvl w:ilvl="1" w:tplc="5E623704">
      <w:start w:val="242"/>
      <w:numFmt w:val="bullet"/>
      <w:lvlText w:val="–"/>
      <w:lvlJc w:val="left"/>
      <w:pPr>
        <w:tabs>
          <w:tab w:val="num" w:pos="1440"/>
        </w:tabs>
        <w:ind w:left="1440" w:hanging="360"/>
      </w:pPr>
      <w:rPr>
        <w:rFonts w:ascii="Arial" w:hAnsi="Arial" w:hint="default"/>
      </w:rPr>
    </w:lvl>
    <w:lvl w:ilvl="2" w:tplc="05665972">
      <w:start w:val="242"/>
      <w:numFmt w:val="bullet"/>
      <w:lvlText w:val="•"/>
      <w:lvlJc w:val="left"/>
      <w:pPr>
        <w:tabs>
          <w:tab w:val="num" w:pos="2160"/>
        </w:tabs>
        <w:ind w:left="2160" w:hanging="360"/>
      </w:pPr>
      <w:rPr>
        <w:rFonts w:ascii="Arial" w:hAnsi="Arial" w:hint="default"/>
      </w:rPr>
    </w:lvl>
    <w:lvl w:ilvl="3" w:tplc="CD2C8C1C">
      <w:start w:val="242"/>
      <w:numFmt w:val="bullet"/>
      <w:lvlText w:val="–"/>
      <w:lvlJc w:val="left"/>
      <w:pPr>
        <w:tabs>
          <w:tab w:val="num" w:pos="2880"/>
        </w:tabs>
        <w:ind w:left="2880" w:hanging="360"/>
      </w:pPr>
      <w:rPr>
        <w:rFonts w:ascii="Arial" w:hAnsi="Arial" w:hint="default"/>
      </w:rPr>
    </w:lvl>
    <w:lvl w:ilvl="4" w:tplc="B640254A" w:tentative="1">
      <w:start w:val="1"/>
      <w:numFmt w:val="bullet"/>
      <w:lvlText w:val="•"/>
      <w:lvlJc w:val="left"/>
      <w:pPr>
        <w:tabs>
          <w:tab w:val="num" w:pos="3600"/>
        </w:tabs>
        <w:ind w:left="3600" w:hanging="360"/>
      </w:pPr>
      <w:rPr>
        <w:rFonts w:ascii="Arial" w:hAnsi="Arial" w:hint="default"/>
      </w:rPr>
    </w:lvl>
    <w:lvl w:ilvl="5" w:tplc="F892C3DC" w:tentative="1">
      <w:start w:val="1"/>
      <w:numFmt w:val="bullet"/>
      <w:lvlText w:val="•"/>
      <w:lvlJc w:val="left"/>
      <w:pPr>
        <w:tabs>
          <w:tab w:val="num" w:pos="4320"/>
        </w:tabs>
        <w:ind w:left="4320" w:hanging="360"/>
      </w:pPr>
      <w:rPr>
        <w:rFonts w:ascii="Arial" w:hAnsi="Arial" w:hint="default"/>
      </w:rPr>
    </w:lvl>
    <w:lvl w:ilvl="6" w:tplc="40BE1CF8" w:tentative="1">
      <w:start w:val="1"/>
      <w:numFmt w:val="bullet"/>
      <w:lvlText w:val="•"/>
      <w:lvlJc w:val="left"/>
      <w:pPr>
        <w:tabs>
          <w:tab w:val="num" w:pos="5040"/>
        </w:tabs>
        <w:ind w:left="5040" w:hanging="360"/>
      </w:pPr>
      <w:rPr>
        <w:rFonts w:ascii="Arial" w:hAnsi="Arial" w:hint="default"/>
      </w:rPr>
    </w:lvl>
    <w:lvl w:ilvl="7" w:tplc="B82C2172" w:tentative="1">
      <w:start w:val="1"/>
      <w:numFmt w:val="bullet"/>
      <w:lvlText w:val="•"/>
      <w:lvlJc w:val="left"/>
      <w:pPr>
        <w:tabs>
          <w:tab w:val="num" w:pos="5760"/>
        </w:tabs>
        <w:ind w:left="5760" w:hanging="360"/>
      </w:pPr>
      <w:rPr>
        <w:rFonts w:ascii="Arial" w:hAnsi="Arial" w:hint="default"/>
      </w:rPr>
    </w:lvl>
    <w:lvl w:ilvl="8" w:tplc="6BD09ED8" w:tentative="1">
      <w:start w:val="1"/>
      <w:numFmt w:val="bullet"/>
      <w:lvlText w:val="•"/>
      <w:lvlJc w:val="left"/>
      <w:pPr>
        <w:tabs>
          <w:tab w:val="num" w:pos="6480"/>
        </w:tabs>
        <w:ind w:left="6480" w:hanging="360"/>
      </w:pPr>
      <w:rPr>
        <w:rFonts w:ascii="Arial" w:hAnsi="Arial" w:hint="default"/>
      </w:rPr>
    </w:lvl>
  </w:abstractNum>
  <w:abstractNum w:abstractNumId="37">
    <w:nsid w:val="5DE02CDD"/>
    <w:multiLevelType w:val="hybridMultilevel"/>
    <w:tmpl w:val="82EC3E34"/>
    <w:lvl w:ilvl="0" w:tplc="3F8C4E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6AD06DB9"/>
    <w:multiLevelType w:val="hybridMultilevel"/>
    <w:tmpl w:val="AEFEE47E"/>
    <w:lvl w:ilvl="0" w:tplc="1F1E40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2">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3">
    <w:nsid w:val="797A1EF7"/>
    <w:multiLevelType w:val="hybridMultilevel"/>
    <w:tmpl w:val="601C89C0"/>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44">
    <w:nsid w:val="7A710B8F"/>
    <w:multiLevelType w:val="hybridMultilevel"/>
    <w:tmpl w:val="B4C46AEE"/>
    <w:lvl w:ilvl="0" w:tplc="CF021B9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nsid w:val="7C0C2A71"/>
    <w:multiLevelType w:val="hybridMultilevel"/>
    <w:tmpl w:val="19E2611E"/>
    <w:lvl w:ilvl="0" w:tplc="049E5A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nsid w:val="7C2A2699"/>
    <w:multiLevelType w:val="hybridMultilevel"/>
    <w:tmpl w:val="DFC04FB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9"/>
  </w:num>
  <w:num w:numId="2">
    <w:abstractNumId w:val="39"/>
  </w:num>
  <w:num w:numId="3">
    <w:abstractNumId w:val="0"/>
  </w:num>
  <w:num w:numId="4">
    <w:abstractNumId w:val="25"/>
  </w:num>
  <w:num w:numId="5">
    <w:abstractNumId w:val="13"/>
  </w:num>
  <w:num w:numId="6">
    <w:abstractNumId w:val="11"/>
  </w:num>
  <w:num w:numId="7">
    <w:abstractNumId w:val="40"/>
  </w:num>
  <w:num w:numId="8">
    <w:abstractNumId w:val="32"/>
  </w:num>
  <w:num w:numId="9">
    <w:abstractNumId w:val="21"/>
  </w:num>
  <w:num w:numId="10">
    <w:abstractNumId w:val="28"/>
  </w:num>
  <w:num w:numId="11">
    <w:abstractNumId w:val="47"/>
  </w:num>
  <w:num w:numId="12">
    <w:abstractNumId w:val="29"/>
  </w:num>
  <w:num w:numId="13">
    <w:abstractNumId w:val="18"/>
  </w:num>
  <w:num w:numId="14">
    <w:abstractNumId w:val="19"/>
  </w:num>
  <w:num w:numId="15">
    <w:abstractNumId w:val="41"/>
  </w:num>
  <w:num w:numId="16">
    <w:abstractNumId w:val="16"/>
  </w:num>
  <w:num w:numId="17">
    <w:abstractNumId w:val="8"/>
  </w:num>
  <w:num w:numId="18">
    <w:abstractNumId w:val="17"/>
  </w:num>
  <w:num w:numId="19">
    <w:abstractNumId w:val="26"/>
  </w:num>
  <w:num w:numId="20">
    <w:abstractNumId w:val="42"/>
  </w:num>
  <w:num w:numId="21">
    <w:abstractNumId w:val="33"/>
  </w:num>
  <w:num w:numId="22">
    <w:abstractNumId w:val="1"/>
  </w:num>
  <w:num w:numId="23">
    <w:abstractNumId w:val="34"/>
  </w:num>
  <w:num w:numId="24">
    <w:abstractNumId w:val="22"/>
  </w:num>
  <w:num w:numId="25">
    <w:abstractNumId w:val="23"/>
  </w:num>
  <w:num w:numId="26">
    <w:abstractNumId w:val="6"/>
  </w:num>
  <w:num w:numId="27">
    <w:abstractNumId w:val="12"/>
  </w:num>
  <w:num w:numId="28">
    <w:abstractNumId w:val="46"/>
  </w:num>
  <w:num w:numId="29">
    <w:abstractNumId w:val="9"/>
  </w:num>
  <w:num w:numId="30">
    <w:abstractNumId w:val="31"/>
  </w:num>
  <w:num w:numId="31">
    <w:abstractNumId w:val="27"/>
  </w:num>
  <w:num w:numId="32">
    <w:abstractNumId w:val="15"/>
  </w:num>
  <w:num w:numId="33">
    <w:abstractNumId w:val="3"/>
  </w:num>
  <w:num w:numId="34">
    <w:abstractNumId w:val="4"/>
  </w:num>
  <w:num w:numId="35">
    <w:abstractNumId w:val="10"/>
  </w:num>
  <w:num w:numId="36">
    <w:abstractNumId w:val="24"/>
  </w:num>
  <w:num w:numId="37">
    <w:abstractNumId w:val="38"/>
  </w:num>
  <w:num w:numId="38">
    <w:abstractNumId w:val="2"/>
  </w:num>
  <w:num w:numId="39">
    <w:abstractNumId w:val="5"/>
  </w:num>
  <w:num w:numId="40">
    <w:abstractNumId w:val="30"/>
  </w:num>
  <w:num w:numId="41">
    <w:abstractNumId w:val="7"/>
  </w:num>
  <w:num w:numId="42">
    <w:abstractNumId w:val="36"/>
  </w:num>
  <w:num w:numId="43">
    <w:abstractNumId w:val="35"/>
  </w:num>
  <w:num w:numId="44">
    <w:abstractNumId w:val="43"/>
  </w:num>
  <w:num w:numId="45">
    <w:abstractNumId w:val="14"/>
  </w:num>
  <w:num w:numId="46">
    <w:abstractNumId w:val="37"/>
  </w:num>
  <w:num w:numId="47">
    <w:abstractNumId w:val="20"/>
  </w:num>
  <w:num w:numId="48">
    <w:abstractNumId w:val="45"/>
  </w:num>
  <w:num w:numId="49">
    <w:abstractNumId w:val="4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BCD"/>
    <w:rsid w:val="00013FCB"/>
    <w:rsid w:val="00015273"/>
    <w:rsid w:val="0001527C"/>
    <w:rsid w:val="000156F2"/>
    <w:rsid w:val="000159EC"/>
    <w:rsid w:val="00015CB5"/>
    <w:rsid w:val="00015E3D"/>
    <w:rsid w:val="000163EB"/>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840"/>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DE"/>
    <w:rsid w:val="00067594"/>
    <w:rsid w:val="0006769B"/>
    <w:rsid w:val="00070193"/>
    <w:rsid w:val="000702F8"/>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5F5A"/>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4D08"/>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2C6"/>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5B39"/>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4CA"/>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489"/>
    <w:rsid w:val="001175C6"/>
    <w:rsid w:val="00117D0A"/>
    <w:rsid w:val="00117F02"/>
    <w:rsid w:val="001201DD"/>
    <w:rsid w:val="00120481"/>
    <w:rsid w:val="0012058F"/>
    <w:rsid w:val="00121089"/>
    <w:rsid w:val="00121372"/>
    <w:rsid w:val="00121B48"/>
    <w:rsid w:val="00121FF7"/>
    <w:rsid w:val="001226B6"/>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1C5"/>
    <w:rsid w:val="00133BFE"/>
    <w:rsid w:val="00133D6C"/>
    <w:rsid w:val="00134048"/>
    <w:rsid w:val="001340FD"/>
    <w:rsid w:val="001342D9"/>
    <w:rsid w:val="00134B72"/>
    <w:rsid w:val="00135327"/>
    <w:rsid w:val="00136712"/>
    <w:rsid w:val="001367E6"/>
    <w:rsid w:val="001368BF"/>
    <w:rsid w:val="001368D4"/>
    <w:rsid w:val="001373D0"/>
    <w:rsid w:val="00137995"/>
    <w:rsid w:val="00137A93"/>
    <w:rsid w:val="00137BE4"/>
    <w:rsid w:val="0014016C"/>
    <w:rsid w:val="00140666"/>
    <w:rsid w:val="00140AAB"/>
    <w:rsid w:val="00142255"/>
    <w:rsid w:val="001425E4"/>
    <w:rsid w:val="00142807"/>
    <w:rsid w:val="00142BDA"/>
    <w:rsid w:val="001431C7"/>
    <w:rsid w:val="00143716"/>
    <w:rsid w:val="00143C78"/>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CFD"/>
    <w:rsid w:val="00161EEA"/>
    <w:rsid w:val="00162D48"/>
    <w:rsid w:val="00162FE4"/>
    <w:rsid w:val="001636C4"/>
    <w:rsid w:val="00163C8F"/>
    <w:rsid w:val="00163FBD"/>
    <w:rsid w:val="00164A9C"/>
    <w:rsid w:val="0016558F"/>
    <w:rsid w:val="00165603"/>
    <w:rsid w:val="00165FE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466"/>
    <w:rsid w:val="0017454F"/>
    <w:rsid w:val="00174577"/>
    <w:rsid w:val="00174BBF"/>
    <w:rsid w:val="00174CC1"/>
    <w:rsid w:val="00175851"/>
    <w:rsid w:val="00175E08"/>
    <w:rsid w:val="00176173"/>
    <w:rsid w:val="0017635A"/>
    <w:rsid w:val="00176690"/>
    <w:rsid w:val="00180186"/>
    <w:rsid w:val="00180816"/>
    <w:rsid w:val="00180E06"/>
    <w:rsid w:val="00181A6D"/>
    <w:rsid w:val="00181D3C"/>
    <w:rsid w:val="00181DD2"/>
    <w:rsid w:val="00182069"/>
    <w:rsid w:val="0018236C"/>
    <w:rsid w:val="00182AA0"/>
    <w:rsid w:val="00183C92"/>
    <w:rsid w:val="00183EA0"/>
    <w:rsid w:val="001840DB"/>
    <w:rsid w:val="00184989"/>
    <w:rsid w:val="00184A09"/>
    <w:rsid w:val="001852B9"/>
    <w:rsid w:val="0018614F"/>
    <w:rsid w:val="00186216"/>
    <w:rsid w:val="0018658E"/>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163"/>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2F7"/>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685"/>
    <w:rsid w:val="001B3969"/>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A65"/>
    <w:rsid w:val="001D0B5D"/>
    <w:rsid w:val="001D0CF0"/>
    <w:rsid w:val="001D100E"/>
    <w:rsid w:val="001D1524"/>
    <w:rsid w:val="001D184E"/>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774"/>
    <w:rsid w:val="00213EEA"/>
    <w:rsid w:val="00213F16"/>
    <w:rsid w:val="00214D71"/>
    <w:rsid w:val="0021511E"/>
    <w:rsid w:val="00215471"/>
    <w:rsid w:val="00215BD0"/>
    <w:rsid w:val="00215DE5"/>
    <w:rsid w:val="0021600A"/>
    <w:rsid w:val="00216F54"/>
    <w:rsid w:val="00217441"/>
    <w:rsid w:val="002177EA"/>
    <w:rsid w:val="002200D6"/>
    <w:rsid w:val="00221698"/>
    <w:rsid w:val="00221CC4"/>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B1"/>
    <w:rsid w:val="002458CF"/>
    <w:rsid w:val="00245B68"/>
    <w:rsid w:val="00245CBE"/>
    <w:rsid w:val="0024657C"/>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6E03"/>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4B6"/>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3B8A"/>
    <w:rsid w:val="00294382"/>
    <w:rsid w:val="00294797"/>
    <w:rsid w:val="00296CDE"/>
    <w:rsid w:val="00296D39"/>
    <w:rsid w:val="00297557"/>
    <w:rsid w:val="002A104F"/>
    <w:rsid w:val="002A20BE"/>
    <w:rsid w:val="002A361E"/>
    <w:rsid w:val="002A3F1F"/>
    <w:rsid w:val="002A4EDC"/>
    <w:rsid w:val="002A5AB4"/>
    <w:rsid w:val="002A605B"/>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F36"/>
    <w:rsid w:val="002C51FE"/>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02E"/>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FD2"/>
    <w:rsid w:val="002E73C3"/>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82C"/>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670"/>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B40"/>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0B0D"/>
    <w:rsid w:val="003711B7"/>
    <w:rsid w:val="00371CC6"/>
    <w:rsid w:val="00372141"/>
    <w:rsid w:val="00372217"/>
    <w:rsid w:val="003739AB"/>
    <w:rsid w:val="00373D9D"/>
    <w:rsid w:val="00373E9D"/>
    <w:rsid w:val="00374785"/>
    <w:rsid w:val="003749A5"/>
    <w:rsid w:val="00374BEC"/>
    <w:rsid w:val="003751B0"/>
    <w:rsid w:val="00375270"/>
    <w:rsid w:val="003755CF"/>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33D7"/>
    <w:rsid w:val="003839C2"/>
    <w:rsid w:val="003843D7"/>
    <w:rsid w:val="00384B1D"/>
    <w:rsid w:val="00384FAF"/>
    <w:rsid w:val="00385156"/>
    <w:rsid w:val="00385D97"/>
    <w:rsid w:val="00386823"/>
    <w:rsid w:val="00386CDE"/>
    <w:rsid w:val="0038771B"/>
    <w:rsid w:val="003906FD"/>
    <w:rsid w:val="00390BAD"/>
    <w:rsid w:val="00391066"/>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7D7"/>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731"/>
    <w:rsid w:val="00433889"/>
    <w:rsid w:val="00433B53"/>
    <w:rsid w:val="004341A8"/>
    <w:rsid w:val="00435319"/>
    <w:rsid w:val="0043586C"/>
    <w:rsid w:val="00435C70"/>
    <w:rsid w:val="00435FCB"/>
    <w:rsid w:val="004360D2"/>
    <w:rsid w:val="00437EDA"/>
    <w:rsid w:val="00440395"/>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8A2"/>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4BE2"/>
    <w:rsid w:val="004858B8"/>
    <w:rsid w:val="004861AF"/>
    <w:rsid w:val="004862D8"/>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66EF"/>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323"/>
    <w:rsid w:val="004A554C"/>
    <w:rsid w:val="004A570B"/>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720"/>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5C93"/>
    <w:rsid w:val="004D6349"/>
    <w:rsid w:val="004D6F4B"/>
    <w:rsid w:val="004D75C2"/>
    <w:rsid w:val="004D7E45"/>
    <w:rsid w:val="004E1196"/>
    <w:rsid w:val="004E1372"/>
    <w:rsid w:val="004E1B50"/>
    <w:rsid w:val="004E1C8E"/>
    <w:rsid w:val="004E1F1B"/>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4F8D"/>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BA"/>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320"/>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2F10"/>
    <w:rsid w:val="00563C45"/>
    <w:rsid w:val="00563FC3"/>
    <w:rsid w:val="00564545"/>
    <w:rsid w:val="0056473C"/>
    <w:rsid w:val="00565F03"/>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98F"/>
    <w:rsid w:val="00580734"/>
    <w:rsid w:val="00580A2B"/>
    <w:rsid w:val="00580B01"/>
    <w:rsid w:val="00580DAD"/>
    <w:rsid w:val="00581377"/>
    <w:rsid w:val="00582A13"/>
    <w:rsid w:val="00582F6F"/>
    <w:rsid w:val="00583D6B"/>
    <w:rsid w:val="0058466A"/>
    <w:rsid w:val="00584E86"/>
    <w:rsid w:val="005856A9"/>
    <w:rsid w:val="005858B0"/>
    <w:rsid w:val="00585F1A"/>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7A4"/>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A0D"/>
    <w:rsid w:val="00647A7D"/>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ACA"/>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2854"/>
    <w:rsid w:val="0069313D"/>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3A51"/>
    <w:rsid w:val="006A4132"/>
    <w:rsid w:val="006A4304"/>
    <w:rsid w:val="006A461A"/>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B7D5E"/>
    <w:rsid w:val="006C0163"/>
    <w:rsid w:val="006C03A1"/>
    <w:rsid w:val="006C050A"/>
    <w:rsid w:val="006C0D99"/>
    <w:rsid w:val="006C0F4B"/>
    <w:rsid w:val="006C1393"/>
    <w:rsid w:val="006C1CC6"/>
    <w:rsid w:val="006C2032"/>
    <w:rsid w:val="006C2677"/>
    <w:rsid w:val="006C3822"/>
    <w:rsid w:val="006C388B"/>
    <w:rsid w:val="006C3B34"/>
    <w:rsid w:val="006C3DCE"/>
    <w:rsid w:val="006C3E3C"/>
    <w:rsid w:val="006C3E8F"/>
    <w:rsid w:val="006C3FB7"/>
    <w:rsid w:val="006C43EA"/>
    <w:rsid w:val="006C5E40"/>
    <w:rsid w:val="006C6263"/>
    <w:rsid w:val="006C65FB"/>
    <w:rsid w:val="006C67B2"/>
    <w:rsid w:val="006C6A9C"/>
    <w:rsid w:val="006C6D19"/>
    <w:rsid w:val="006C6D76"/>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3A"/>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772"/>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6B62"/>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1E8F"/>
    <w:rsid w:val="00732418"/>
    <w:rsid w:val="00732568"/>
    <w:rsid w:val="007325F5"/>
    <w:rsid w:val="00732EF9"/>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19D"/>
    <w:rsid w:val="00787525"/>
    <w:rsid w:val="007876A3"/>
    <w:rsid w:val="00790B68"/>
    <w:rsid w:val="00790F12"/>
    <w:rsid w:val="007912DE"/>
    <w:rsid w:val="0079146F"/>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3C4"/>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5672"/>
    <w:rsid w:val="007C6C7C"/>
    <w:rsid w:val="007C6DD4"/>
    <w:rsid w:val="007C711E"/>
    <w:rsid w:val="007C74BB"/>
    <w:rsid w:val="007C79D6"/>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3C7"/>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9B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091A"/>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5CD"/>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2606"/>
    <w:rsid w:val="0084339F"/>
    <w:rsid w:val="00843966"/>
    <w:rsid w:val="00843AC7"/>
    <w:rsid w:val="0084410B"/>
    <w:rsid w:val="008471B5"/>
    <w:rsid w:val="00847417"/>
    <w:rsid w:val="00847480"/>
    <w:rsid w:val="008474A3"/>
    <w:rsid w:val="00850668"/>
    <w:rsid w:val="008507B8"/>
    <w:rsid w:val="00850EF9"/>
    <w:rsid w:val="008512FC"/>
    <w:rsid w:val="00852A76"/>
    <w:rsid w:val="008539BD"/>
    <w:rsid w:val="00853D16"/>
    <w:rsid w:val="00853D36"/>
    <w:rsid w:val="00854D1F"/>
    <w:rsid w:val="00854F65"/>
    <w:rsid w:val="00855673"/>
    <w:rsid w:val="008559E2"/>
    <w:rsid w:val="00855F57"/>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DFE"/>
    <w:rsid w:val="00873E02"/>
    <w:rsid w:val="00873EDC"/>
    <w:rsid w:val="0087409E"/>
    <w:rsid w:val="0087423F"/>
    <w:rsid w:val="00874701"/>
    <w:rsid w:val="00874CEF"/>
    <w:rsid w:val="00875867"/>
    <w:rsid w:val="00875C00"/>
    <w:rsid w:val="008760FC"/>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C2"/>
    <w:rsid w:val="00895FC3"/>
    <w:rsid w:val="00895FFD"/>
    <w:rsid w:val="008960FA"/>
    <w:rsid w:val="0089650B"/>
    <w:rsid w:val="00896919"/>
    <w:rsid w:val="0089721F"/>
    <w:rsid w:val="00897634"/>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23D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53E"/>
    <w:rsid w:val="008C7645"/>
    <w:rsid w:val="008C79F2"/>
    <w:rsid w:val="008D06AD"/>
    <w:rsid w:val="008D0A52"/>
    <w:rsid w:val="008D1968"/>
    <w:rsid w:val="008D1AB4"/>
    <w:rsid w:val="008D1B7E"/>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2F12"/>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0625"/>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1B2"/>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BB1"/>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37E05"/>
    <w:rsid w:val="00940282"/>
    <w:rsid w:val="00940972"/>
    <w:rsid w:val="00940988"/>
    <w:rsid w:val="00940AE2"/>
    <w:rsid w:val="009426A8"/>
    <w:rsid w:val="00942992"/>
    <w:rsid w:val="00942D0F"/>
    <w:rsid w:val="00943B4D"/>
    <w:rsid w:val="00943DB6"/>
    <w:rsid w:val="009452E6"/>
    <w:rsid w:val="0094534D"/>
    <w:rsid w:val="0094570E"/>
    <w:rsid w:val="009457A5"/>
    <w:rsid w:val="009458DE"/>
    <w:rsid w:val="00945CA9"/>
    <w:rsid w:val="00945FE1"/>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18D4"/>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04A"/>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2F"/>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D7D9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F93"/>
    <w:rsid w:val="009E7694"/>
    <w:rsid w:val="009F024C"/>
    <w:rsid w:val="009F0502"/>
    <w:rsid w:val="009F0B80"/>
    <w:rsid w:val="009F1103"/>
    <w:rsid w:val="009F166E"/>
    <w:rsid w:val="009F1702"/>
    <w:rsid w:val="009F1E45"/>
    <w:rsid w:val="009F34AD"/>
    <w:rsid w:val="009F36D0"/>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4F9B"/>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0CB2"/>
    <w:rsid w:val="00A213CA"/>
    <w:rsid w:val="00A21A3E"/>
    <w:rsid w:val="00A21B6A"/>
    <w:rsid w:val="00A22685"/>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37F37"/>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09BD"/>
    <w:rsid w:val="00A50A67"/>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52B"/>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358"/>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9D0"/>
    <w:rsid w:val="00A91A59"/>
    <w:rsid w:val="00A91FB9"/>
    <w:rsid w:val="00A9280E"/>
    <w:rsid w:val="00A92CAA"/>
    <w:rsid w:val="00A92D25"/>
    <w:rsid w:val="00A94373"/>
    <w:rsid w:val="00A95F1E"/>
    <w:rsid w:val="00A961C3"/>
    <w:rsid w:val="00A96B00"/>
    <w:rsid w:val="00A96E49"/>
    <w:rsid w:val="00A97205"/>
    <w:rsid w:val="00A9772A"/>
    <w:rsid w:val="00A97A7B"/>
    <w:rsid w:val="00AA0D99"/>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1F9"/>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7AF"/>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D6"/>
    <w:rsid w:val="00B057F5"/>
    <w:rsid w:val="00B058AA"/>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0D93"/>
    <w:rsid w:val="00B20DB9"/>
    <w:rsid w:val="00B21E86"/>
    <w:rsid w:val="00B21F98"/>
    <w:rsid w:val="00B22379"/>
    <w:rsid w:val="00B22A4D"/>
    <w:rsid w:val="00B22A6C"/>
    <w:rsid w:val="00B22D2F"/>
    <w:rsid w:val="00B2498A"/>
    <w:rsid w:val="00B24A58"/>
    <w:rsid w:val="00B254EF"/>
    <w:rsid w:val="00B25574"/>
    <w:rsid w:val="00B2568D"/>
    <w:rsid w:val="00B259CA"/>
    <w:rsid w:val="00B259E5"/>
    <w:rsid w:val="00B25A4F"/>
    <w:rsid w:val="00B25AE4"/>
    <w:rsid w:val="00B25FB4"/>
    <w:rsid w:val="00B25FE4"/>
    <w:rsid w:val="00B260E8"/>
    <w:rsid w:val="00B26591"/>
    <w:rsid w:val="00B26BD8"/>
    <w:rsid w:val="00B26C39"/>
    <w:rsid w:val="00B26D67"/>
    <w:rsid w:val="00B27140"/>
    <w:rsid w:val="00B2740C"/>
    <w:rsid w:val="00B3097B"/>
    <w:rsid w:val="00B30AC3"/>
    <w:rsid w:val="00B31110"/>
    <w:rsid w:val="00B31243"/>
    <w:rsid w:val="00B31392"/>
    <w:rsid w:val="00B3151B"/>
    <w:rsid w:val="00B31B75"/>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CBA"/>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4C7E"/>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A92"/>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8AA"/>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366"/>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3CEB"/>
    <w:rsid w:val="00BC4B59"/>
    <w:rsid w:val="00BC4B65"/>
    <w:rsid w:val="00BC4F1F"/>
    <w:rsid w:val="00BC5098"/>
    <w:rsid w:val="00BC5720"/>
    <w:rsid w:val="00BC58C9"/>
    <w:rsid w:val="00BC615F"/>
    <w:rsid w:val="00BC6B4C"/>
    <w:rsid w:val="00BC7AD6"/>
    <w:rsid w:val="00BC7AF6"/>
    <w:rsid w:val="00BD02D2"/>
    <w:rsid w:val="00BD1556"/>
    <w:rsid w:val="00BD2954"/>
    <w:rsid w:val="00BD2BEC"/>
    <w:rsid w:val="00BD2C19"/>
    <w:rsid w:val="00BD2CBA"/>
    <w:rsid w:val="00BD35B1"/>
    <w:rsid w:val="00BD35E0"/>
    <w:rsid w:val="00BD3842"/>
    <w:rsid w:val="00BD3DA1"/>
    <w:rsid w:val="00BD41E4"/>
    <w:rsid w:val="00BD4883"/>
    <w:rsid w:val="00BD48B7"/>
    <w:rsid w:val="00BD4FCA"/>
    <w:rsid w:val="00BD5423"/>
    <w:rsid w:val="00BD546B"/>
    <w:rsid w:val="00BD562F"/>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03C6"/>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5E0"/>
    <w:rsid w:val="00C238EE"/>
    <w:rsid w:val="00C23D54"/>
    <w:rsid w:val="00C2432D"/>
    <w:rsid w:val="00C243B6"/>
    <w:rsid w:val="00C25013"/>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6CE"/>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3EBB"/>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87F36"/>
    <w:rsid w:val="00C909F2"/>
    <w:rsid w:val="00C90C8D"/>
    <w:rsid w:val="00C91674"/>
    <w:rsid w:val="00C924BE"/>
    <w:rsid w:val="00C932BF"/>
    <w:rsid w:val="00C93B6B"/>
    <w:rsid w:val="00C94221"/>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101"/>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3EDF"/>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46"/>
    <w:rsid w:val="00CD4A18"/>
    <w:rsid w:val="00CD4A9C"/>
    <w:rsid w:val="00CD4B9B"/>
    <w:rsid w:val="00CD517D"/>
    <w:rsid w:val="00CD51FB"/>
    <w:rsid w:val="00CD6198"/>
    <w:rsid w:val="00CD6A86"/>
    <w:rsid w:val="00CD75C5"/>
    <w:rsid w:val="00CD7A75"/>
    <w:rsid w:val="00CD7DB2"/>
    <w:rsid w:val="00CE09CF"/>
    <w:rsid w:val="00CE0B11"/>
    <w:rsid w:val="00CE0BBA"/>
    <w:rsid w:val="00CE155F"/>
    <w:rsid w:val="00CE1BD1"/>
    <w:rsid w:val="00CE1C90"/>
    <w:rsid w:val="00CE1E25"/>
    <w:rsid w:val="00CE1FEC"/>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7666"/>
    <w:rsid w:val="00D17B73"/>
    <w:rsid w:val="00D17F6C"/>
    <w:rsid w:val="00D20DAD"/>
    <w:rsid w:val="00D20F75"/>
    <w:rsid w:val="00D218F0"/>
    <w:rsid w:val="00D22093"/>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B4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36"/>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4B2"/>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5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A90"/>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532"/>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7C"/>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C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6E8E"/>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1EBD"/>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1BC"/>
    <w:rsid w:val="00EA7563"/>
    <w:rsid w:val="00EA7767"/>
    <w:rsid w:val="00EA7BC2"/>
    <w:rsid w:val="00EB0F82"/>
    <w:rsid w:val="00EB1284"/>
    <w:rsid w:val="00EB18E3"/>
    <w:rsid w:val="00EB1CB9"/>
    <w:rsid w:val="00EB1EFD"/>
    <w:rsid w:val="00EB2A69"/>
    <w:rsid w:val="00EB3650"/>
    <w:rsid w:val="00EB38A9"/>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0F66"/>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06"/>
    <w:rsid w:val="00EF1FA8"/>
    <w:rsid w:val="00EF2079"/>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FBA"/>
    <w:rsid w:val="00F14A9B"/>
    <w:rsid w:val="00F14ABE"/>
    <w:rsid w:val="00F14CF6"/>
    <w:rsid w:val="00F14E26"/>
    <w:rsid w:val="00F14E8A"/>
    <w:rsid w:val="00F16302"/>
    <w:rsid w:val="00F16557"/>
    <w:rsid w:val="00F20604"/>
    <w:rsid w:val="00F20FE2"/>
    <w:rsid w:val="00F21444"/>
    <w:rsid w:val="00F2160B"/>
    <w:rsid w:val="00F21658"/>
    <w:rsid w:val="00F21F77"/>
    <w:rsid w:val="00F221DB"/>
    <w:rsid w:val="00F22A0B"/>
    <w:rsid w:val="00F23619"/>
    <w:rsid w:val="00F238AB"/>
    <w:rsid w:val="00F24EDF"/>
    <w:rsid w:val="00F25239"/>
    <w:rsid w:val="00F2537C"/>
    <w:rsid w:val="00F254FA"/>
    <w:rsid w:val="00F2591C"/>
    <w:rsid w:val="00F25E27"/>
    <w:rsid w:val="00F26A78"/>
    <w:rsid w:val="00F26CEA"/>
    <w:rsid w:val="00F26EF1"/>
    <w:rsid w:val="00F270B4"/>
    <w:rsid w:val="00F27A12"/>
    <w:rsid w:val="00F27A40"/>
    <w:rsid w:val="00F30B97"/>
    <w:rsid w:val="00F3164A"/>
    <w:rsid w:val="00F3212A"/>
    <w:rsid w:val="00F3217D"/>
    <w:rsid w:val="00F32E47"/>
    <w:rsid w:val="00F332CF"/>
    <w:rsid w:val="00F33496"/>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CA7"/>
    <w:rsid w:val="00F64D92"/>
    <w:rsid w:val="00F64E77"/>
    <w:rsid w:val="00F655AC"/>
    <w:rsid w:val="00F660EC"/>
    <w:rsid w:val="00F66827"/>
    <w:rsid w:val="00F66B41"/>
    <w:rsid w:val="00F66C47"/>
    <w:rsid w:val="00F66CD4"/>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1DC0"/>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0B3"/>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18"/>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3FE7"/>
    <w:rsid w:val="00FF4532"/>
    <w:rsid w:val="00FF4A91"/>
    <w:rsid w:val="00FF4FC7"/>
    <w:rsid w:val="00FF575D"/>
    <w:rsid w:val="00FF57E4"/>
    <w:rsid w:val="00FF5A55"/>
    <w:rsid w:val="00FF5D6F"/>
    <w:rsid w:val="00FF5F41"/>
    <w:rsid w:val="00FF6118"/>
    <w:rsid w:val="00FF6944"/>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48F13D-4B35-48B1-AB46-1DF1A1C13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0F6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Proposal">
    <w:name w:val="Proposal"/>
    <w:basedOn w:val="a1"/>
    <w:link w:val="ProposalChar"/>
    <w:qFormat/>
    <w:rsid w:val="002E73C3"/>
    <w:pPr>
      <w:ind w:left="0" w:firstLine="0"/>
    </w:pPr>
    <w:rPr>
      <w:rFonts w:eastAsiaTheme="minorEastAsia"/>
      <w:b/>
      <w:i/>
      <w:sz w:val="22"/>
      <w:lang w:eastAsia="ko-KR"/>
    </w:rPr>
  </w:style>
  <w:style w:type="paragraph" w:customStyle="1" w:styleId="Context">
    <w:name w:val="Context"/>
    <w:basedOn w:val="a1"/>
    <w:link w:val="ContextChar"/>
    <w:qFormat/>
    <w:rsid w:val="00323670"/>
    <w:pPr>
      <w:ind w:left="0" w:firstLine="0"/>
    </w:pPr>
    <w:rPr>
      <w:rFonts w:eastAsiaTheme="minorEastAsia"/>
      <w:sz w:val="22"/>
      <w:lang w:eastAsia="ko-KR"/>
    </w:rPr>
  </w:style>
  <w:style w:type="character" w:customStyle="1" w:styleId="ProposalChar">
    <w:name w:val="Proposal Char"/>
    <w:basedOn w:val="a2"/>
    <w:link w:val="Proposal"/>
    <w:rsid w:val="002E73C3"/>
    <w:rPr>
      <w:rFonts w:eastAsiaTheme="minorEastAsia"/>
      <w:b/>
      <w:i/>
      <w:sz w:val="22"/>
      <w:lang w:val="en-GB"/>
    </w:rPr>
  </w:style>
  <w:style w:type="character" w:customStyle="1" w:styleId="ContextChar">
    <w:name w:val="Context Char"/>
    <w:basedOn w:val="a2"/>
    <w:link w:val="Context"/>
    <w:rsid w:val="00323670"/>
    <w:rPr>
      <w:rFonts w:eastAsiaTheme="minorEastAsia"/>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22939">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CDA236-52D0-494F-A781-5C1C96F7F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859</Words>
  <Characters>4899</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이윤정/수석연구원/차세대표준(연)ACS팀(yunjung.yi@lge.com)</cp:lastModifiedBy>
  <cp:revision>2</cp:revision>
  <cp:lastPrinted>2017-06-13T10:43:00Z</cp:lastPrinted>
  <dcterms:created xsi:type="dcterms:W3CDTF">2017-08-11T17:07:00Z</dcterms:created>
  <dcterms:modified xsi:type="dcterms:W3CDTF">2017-08-11T17:07:00Z</dcterms:modified>
</cp:coreProperties>
</file>